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67F5" w14:textId="77777777" w:rsidR="0045291A" w:rsidRDefault="0045291A" w:rsidP="00C87F91">
      <w:pPr>
        <w:ind w:left="1440" w:right="-90" w:firstLine="720"/>
        <w:jc w:val="both"/>
        <w:rPr>
          <w:b/>
        </w:rPr>
      </w:pPr>
    </w:p>
    <w:p w14:paraId="03321D0A" w14:textId="77777777" w:rsidR="0045291A" w:rsidRDefault="0045291A" w:rsidP="00C87F91">
      <w:pPr>
        <w:ind w:left="1440" w:right="-90" w:firstLine="720"/>
        <w:jc w:val="both"/>
        <w:rPr>
          <w:b/>
        </w:rPr>
      </w:pPr>
    </w:p>
    <w:p w14:paraId="3490C600" w14:textId="77777777" w:rsidR="00C87F91" w:rsidRPr="00D205E2" w:rsidRDefault="00C87F91" w:rsidP="00C87F91">
      <w:pPr>
        <w:ind w:left="1440" w:right="-90" w:firstLine="720"/>
        <w:jc w:val="both"/>
        <w:rPr>
          <w:b/>
        </w:rPr>
      </w:pPr>
      <w:r w:rsidRPr="00D205E2">
        <w:rPr>
          <w:b/>
          <w:noProof/>
        </w:rPr>
        <w:drawing>
          <wp:anchor distT="0" distB="0" distL="114300" distR="114300" simplePos="0" relativeHeight="251659264" behindDoc="0" locked="0" layoutInCell="1" allowOverlap="1" wp14:anchorId="2E6BF7C5" wp14:editId="7F0D12C2">
            <wp:simplePos x="0" y="0"/>
            <wp:positionH relativeFrom="column">
              <wp:posOffset>19050</wp:posOffset>
            </wp:positionH>
            <wp:positionV relativeFrom="paragraph">
              <wp:posOffset>-206375</wp:posOffset>
            </wp:positionV>
            <wp:extent cx="2542540" cy="1259840"/>
            <wp:effectExtent l="19050" t="0" r="0" b="0"/>
            <wp:wrapSquare wrapText="bothSides"/>
            <wp:docPr id="4" name="Picture 3" descr="F:\Logos\Red Triangle with tagline\Logo_w_tag_JPEG_CMYK\Trijicon_blk_wT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s\Red Triangle with tagline\Logo_w_tag_JPEG_CMYK\Trijicon_blk_wTag_CMYK.jpg"/>
                    <pic:cNvPicPr>
                      <a:picLocks noChangeAspect="1" noChangeArrowheads="1"/>
                    </pic:cNvPicPr>
                  </pic:nvPicPr>
                  <pic:blipFill>
                    <a:blip r:embed="rId6" cstate="print"/>
                    <a:srcRect/>
                    <a:stretch>
                      <a:fillRect/>
                    </a:stretch>
                  </pic:blipFill>
                  <pic:spPr bwMode="auto">
                    <a:xfrm>
                      <a:off x="0" y="0"/>
                      <a:ext cx="2542540" cy="1259840"/>
                    </a:xfrm>
                    <a:prstGeom prst="rect">
                      <a:avLst/>
                    </a:prstGeom>
                    <a:noFill/>
                    <a:ln w="9525">
                      <a:noFill/>
                      <a:miter lim="800000"/>
                      <a:headEnd/>
                      <a:tailEnd/>
                    </a:ln>
                  </pic:spPr>
                </pic:pic>
              </a:graphicData>
            </a:graphic>
          </wp:anchor>
        </w:drawing>
      </w:r>
      <w:r w:rsidRPr="00D205E2">
        <w:rPr>
          <w:b/>
        </w:rPr>
        <w:t>FOR IMMEDIATE RELEASE</w:t>
      </w:r>
    </w:p>
    <w:p w14:paraId="3108BEC7" w14:textId="77777777" w:rsidR="00C87F91" w:rsidRPr="00D205E2" w:rsidRDefault="00C87F91" w:rsidP="00C87F91">
      <w:pPr>
        <w:ind w:left="1440" w:right="-90" w:firstLine="720"/>
        <w:jc w:val="both"/>
      </w:pPr>
      <w:r w:rsidRPr="00D205E2">
        <w:t>Contact:  Eddie Stevenson</w:t>
      </w:r>
    </w:p>
    <w:p w14:paraId="378B9B6E" w14:textId="77777777" w:rsidR="00C87F91" w:rsidRPr="00D205E2" w:rsidRDefault="00C87F91" w:rsidP="00C87F91">
      <w:pPr>
        <w:tabs>
          <w:tab w:val="center" w:pos="2978"/>
        </w:tabs>
        <w:ind w:right="-90" w:firstLine="720"/>
        <w:jc w:val="both"/>
      </w:pPr>
      <w:r w:rsidRPr="00D205E2">
        <w:t>(</w:t>
      </w:r>
      <w:r w:rsidR="00476F95">
        <w:t>540</w:t>
      </w:r>
      <w:r w:rsidRPr="00D205E2">
        <w:t xml:space="preserve">) </w:t>
      </w:r>
      <w:r w:rsidR="00476F95">
        <w:t>420-3467</w:t>
      </w:r>
      <w:r w:rsidRPr="00D205E2">
        <w:tab/>
      </w:r>
    </w:p>
    <w:p w14:paraId="01D69B37" w14:textId="77777777" w:rsidR="00C87F91" w:rsidRPr="00D205E2" w:rsidRDefault="00C87F91" w:rsidP="00C87F91">
      <w:pPr>
        <w:ind w:right="-90"/>
        <w:jc w:val="both"/>
      </w:pPr>
    </w:p>
    <w:p w14:paraId="210D2EB3" w14:textId="77777777" w:rsidR="00EA57A8" w:rsidRDefault="00EA57A8"/>
    <w:p w14:paraId="11C558D5" w14:textId="77777777" w:rsidR="00C87F91" w:rsidRDefault="00C87F91"/>
    <w:p w14:paraId="5AED98A7" w14:textId="77777777" w:rsidR="00C87F91" w:rsidRDefault="00C87F91" w:rsidP="00C87F91">
      <w:pPr>
        <w:jc w:val="both"/>
      </w:pPr>
    </w:p>
    <w:p w14:paraId="68061E20" w14:textId="77777777" w:rsidR="00C87F91" w:rsidRDefault="00C87F91" w:rsidP="00C87F91"/>
    <w:p w14:paraId="4DBE9B33" w14:textId="77777777" w:rsidR="00894ABB" w:rsidRDefault="00894ABB" w:rsidP="00C87F91">
      <w:pPr>
        <w:rPr>
          <w:b/>
          <w:sz w:val="32"/>
          <w:szCs w:val="32"/>
          <w:u w:val="single"/>
        </w:rPr>
      </w:pPr>
    </w:p>
    <w:p w14:paraId="2454CABF" w14:textId="77777777" w:rsidR="00DF0885" w:rsidRPr="005F6BAC" w:rsidRDefault="000E5A42" w:rsidP="000E5A42">
      <w:pPr>
        <w:rPr>
          <w:b/>
          <w:sz w:val="28"/>
          <w:szCs w:val="30"/>
          <w:u w:val="single"/>
        </w:rPr>
      </w:pPr>
      <w:r w:rsidRPr="005F6BAC">
        <w:rPr>
          <w:b/>
          <w:sz w:val="28"/>
          <w:szCs w:val="30"/>
          <w:u w:val="single"/>
        </w:rPr>
        <w:t>Trijicon</w:t>
      </w:r>
      <w:r w:rsidRPr="005F6BAC">
        <w:rPr>
          <w:b/>
          <w:sz w:val="28"/>
          <w:szCs w:val="30"/>
          <w:u w:val="single"/>
          <w:vertAlign w:val="superscript"/>
        </w:rPr>
        <w:t>®</w:t>
      </w:r>
      <w:r w:rsidRPr="005F6BAC">
        <w:rPr>
          <w:b/>
          <w:sz w:val="28"/>
          <w:szCs w:val="30"/>
          <w:u w:val="single"/>
        </w:rPr>
        <w:t xml:space="preserve"> </w:t>
      </w:r>
      <w:r w:rsidR="00183B40">
        <w:rPr>
          <w:b/>
          <w:sz w:val="28"/>
          <w:szCs w:val="30"/>
          <w:u w:val="single"/>
        </w:rPr>
        <w:t>A</w:t>
      </w:r>
      <w:r w:rsidR="00DF0885">
        <w:rPr>
          <w:b/>
          <w:sz w:val="28"/>
          <w:szCs w:val="30"/>
          <w:u w:val="single"/>
        </w:rPr>
        <w:t>dds Green Dot to Miniature Rifle Optic (MRO</w:t>
      </w:r>
      <w:r w:rsidR="00DF0885" w:rsidRPr="00DF0885">
        <w:rPr>
          <w:b/>
          <w:sz w:val="28"/>
          <w:szCs w:val="30"/>
          <w:u w:val="single"/>
          <w:vertAlign w:val="superscript"/>
        </w:rPr>
        <w:t>®</w:t>
      </w:r>
      <w:r w:rsidR="00DF0885">
        <w:rPr>
          <w:b/>
          <w:sz w:val="28"/>
          <w:szCs w:val="30"/>
          <w:u w:val="single"/>
        </w:rPr>
        <w:t>) Line</w:t>
      </w:r>
    </w:p>
    <w:p w14:paraId="63F2C558" w14:textId="77777777" w:rsidR="000E5A42" w:rsidRDefault="000E5A42" w:rsidP="000E5A42">
      <w:pPr>
        <w:rPr>
          <w:b/>
          <w:szCs w:val="30"/>
          <w:u w:val="single"/>
        </w:rPr>
      </w:pPr>
    </w:p>
    <w:p w14:paraId="7389B781" w14:textId="77777777" w:rsidR="000E5A42" w:rsidRDefault="000E5A42" w:rsidP="000E5A42">
      <w:r>
        <w:rPr>
          <w:b/>
          <w:szCs w:val="30"/>
        </w:rPr>
        <w:t xml:space="preserve">Wixom, MI </w:t>
      </w:r>
      <w:r w:rsidR="008427B3">
        <w:rPr>
          <w:b/>
          <w:szCs w:val="30"/>
        </w:rPr>
        <w:t>(May 4</w:t>
      </w:r>
      <w:bookmarkStart w:id="0" w:name="_GoBack"/>
      <w:bookmarkEnd w:id="0"/>
      <w:r w:rsidR="008427B3">
        <w:rPr>
          <w:b/>
          <w:szCs w:val="30"/>
        </w:rPr>
        <w:t xml:space="preserve">, 2018) </w:t>
      </w:r>
      <w:r>
        <w:rPr>
          <w:b/>
          <w:szCs w:val="30"/>
        </w:rPr>
        <w:t>–</w:t>
      </w:r>
      <w:r w:rsidR="007D1EA8">
        <w:rPr>
          <w:b/>
          <w:szCs w:val="30"/>
        </w:rPr>
        <w:t xml:space="preserve"> </w:t>
      </w:r>
      <w:r w:rsidR="005D63F3">
        <w:rPr>
          <w:szCs w:val="30"/>
        </w:rPr>
        <w:t>Trijicon</w:t>
      </w:r>
      <w:r w:rsidR="005D63F3" w:rsidRPr="007D1EA8">
        <w:rPr>
          <w:szCs w:val="30"/>
          <w:vertAlign w:val="superscript"/>
        </w:rPr>
        <w:t>®</w:t>
      </w:r>
      <w:r w:rsidR="005D63F3">
        <w:rPr>
          <w:szCs w:val="30"/>
        </w:rPr>
        <w:t xml:space="preserve"> Inc, manufacturer of Bril</w:t>
      </w:r>
      <w:r w:rsidR="00183B40">
        <w:rPr>
          <w:szCs w:val="30"/>
        </w:rPr>
        <w:t>liant Aiming Solutions ™ is pleased</w:t>
      </w:r>
      <w:r w:rsidR="005D63F3">
        <w:rPr>
          <w:szCs w:val="30"/>
        </w:rPr>
        <w:t xml:space="preserve"> to </w:t>
      </w:r>
      <w:r w:rsidR="00EA3BB3">
        <w:rPr>
          <w:szCs w:val="30"/>
        </w:rPr>
        <w:t>add a gr</w:t>
      </w:r>
      <w:r w:rsidR="00100853">
        <w:rPr>
          <w:szCs w:val="30"/>
        </w:rPr>
        <w:t>een dot option to its MRO</w:t>
      </w:r>
      <w:r w:rsidR="00100853" w:rsidRPr="00100853">
        <w:rPr>
          <w:b/>
          <w:sz w:val="28"/>
          <w:szCs w:val="30"/>
          <w:vertAlign w:val="superscript"/>
        </w:rPr>
        <w:t>®</w:t>
      </w:r>
      <w:r w:rsidR="00100853">
        <w:rPr>
          <w:szCs w:val="30"/>
        </w:rPr>
        <w:t xml:space="preserve"> line of sights.</w:t>
      </w:r>
    </w:p>
    <w:p w14:paraId="0551B758" w14:textId="77777777" w:rsidR="00DF0885" w:rsidRDefault="00DF0885" w:rsidP="000E5A42"/>
    <w:p w14:paraId="2AF3589A" w14:textId="77777777" w:rsidR="00DF0885" w:rsidRPr="00002086" w:rsidRDefault="00DF0885" w:rsidP="00DF0885">
      <w:pPr>
        <w:rPr>
          <w:color w:val="000000"/>
        </w:rPr>
      </w:pPr>
      <w:r w:rsidRPr="00002086">
        <w:rPr>
          <w:color w:val="000000"/>
        </w:rPr>
        <w:t>The Trijicon MRO® with green dot continues the legendary dependability of the MRO</w:t>
      </w:r>
      <w:r w:rsidR="00076A9A" w:rsidRPr="00002086">
        <w:rPr>
          <w:color w:val="000000"/>
        </w:rPr>
        <w:t xml:space="preserve"> and </w:t>
      </w:r>
      <w:r w:rsidRPr="00002086">
        <w:rPr>
          <w:color w:val="000000"/>
        </w:rPr>
        <w:t>featur</w:t>
      </w:r>
      <w:r w:rsidR="00076A9A" w:rsidRPr="00002086">
        <w:rPr>
          <w:color w:val="000000"/>
        </w:rPr>
        <w:t xml:space="preserve">es </w:t>
      </w:r>
      <w:r w:rsidRPr="00002086">
        <w:rPr>
          <w:color w:val="000000"/>
        </w:rPr>
        <w:t>an adjustable 2</w:t>
      </w:r>
      <w:r w:rsidR="00183B40">
        <w:rPr>
          <w:color w:val="000000"/>
        </w:rPr>
        <w:t>.0</w:t>
      </w:r>
      <w:r w:rsidRPr="00002086">
        <w:rPr>
          <w:color w:val="000000"/>
        </w:rPr>
        <w:t xml:space="preserve"> MOA green dot</w:t>
      </w:r>
      <w:r w:rsidR="00076A9A" w:rsidRPr="00002086">
        <w:rPr>
          <w:color w:val="000000"/>
        </w:rPr>
        <w:t xml:space="preserve">. The </w:t>
      </w:r>
      <w:r w:rsidRPr="00002086">
        <w:rPr>
          <w:color w:val="000000"/>
        </w:rPr>
        <w:t>exceptional lens clarity allows the dot to stand out against targets and backgrounds. The human eye is more sensitive to green, making this version of the MRO especially effective for fast target acquisition in low light and transitional lighting conditions.</w:t>
      </w:r>
    </w:p>
    <w:p w14:paraId="549AD72C" w14:textId="77777777" w:rsidR="00DF0885" w:rsidRPr="00002086" w:rsidRDefault="00DF0885" w:rsidP="00DF0885">
      <w:pPr>
        <w:ind w:left="1440"/>
        <w:rPr>
          <w:color w:val="000000"/>
        </w:rPr>
      </w:pPr>
    </w:p>
    <w:p w14:paraId="533D9AE9" w14:textId="77777777" w:rsidR="00076A9A" w:rsidRDefault="00076A9A" w:rsidP="00076A9A">
      <w:pPr>
        <w:rPr>
          <w:color w:val="000000"/>
        </w:rPr>
      </w:pPr>
      <w:r w:rsidRPr="007602A9">
        <w:rPr>
          <w:color w:val="000000"/>
        </w:rPr>
        <w:t xml:space="preserve">The MRO </w:t>
      </w:r>
      <w:r>
        <w:rPr>
          <w:color w:val="000000"/>
        </w:rPr>
        <w:t xml:space="preserve">with green dot </w:t>
      </w:r>
      <w:r w:rsidRPr="007602A9">
        <w:rPr>
          <w:color w:val="000000"/>
        </w:rPr>
        <w:t>features eight brightness settings, including two that are night vision compatible, plus one extremely bright setting for use with</w:t>
      </w:r>
      <w:r w:rsidR="00183B40">
        <w:rPr>
          <w:color w:val="000000"/>
        </w:rPr>
        <w:t xml:space="preserve"> weapon</w:t>
      </w:r>
      <w:r w:rsidRPr="007602A9">
        <w:rPr>
          <w:color w:val="000000"/>
        </w:rPr>
        <w:t xml:space="preserve"> </w:t>
      </w:r>
      <w:r w:rsidR="00183B40">
        <w:rPr>
          <w:color w:val="000000"/>
        </w:rPr>
        <w:t>lights or in very bright lighting</w:t>
      </w:r>
      <w:r w:rsidRPr="007602A9">
        <w:rPr>
          <w:color w:val="000000"/>
        </w:rPr>
        <w:t xml:space="preserve"> conditions. </w:t>
      </w:r>
      <w:r>
        <w:rPr>
          <w:color w:val="000000"/>
        </w:rPr>
        <w:t xml:space="preserve">The battery will last one year </w:t>
      </w:r>
      <w:r w:rsidR="00002086">
        <w:rPr>
          <w:color w:val="000000"/>
        </w:rPr>
        <w:t xml:space="preserve">of continuous use </w:t>
      </w:r>
      <w:r w:rsidR="00183B40">
        <w:rPr>
          <w:color w:val="000000"/>
        </w:rPr>
        <w:t>at setting three</w:t>
      </w:r>
      <w:r w:rsidR="00002086">
        <w:rPr>
          <w:color w:val="000000"/>
        </w:rPr>
        <w:t>.</w:t>
      </w:r>
    </w:p>
    <w:p w14:paraId="7D6CB402" w14:textId="77777777" w:rsidR="000900A6" w:rsidRDefault="000900A6" w:rsidP="00076A9A">
      <w:pPr>
        <w:rPr>
          <w:color w:val="000000"/>
        </w:rPr>
      </w:pPr>
    </w:p>
    <w:p w14:paraId="4E42A8FC" w14:textId="77777777" w:rsidR="000900A6" w:rsidRPr="007602A9" w:rsidRDefault="000900A6" w:rsidP="00076A9A">
      <w:pPr>
        <w:rPr>
          <w:color w:val="000000"/>
        </w:rPr>
      </w:pPr>
      <w:r>
        <w:rPr>
          <w:color w:val="000000"/>
        </w:rPr>
        <w:t>The brightness control atop the optic is</w:t>
      </w:r>
      <w:r w:rsidRPr="000900A6">
        <w:rPr>
          <w:color w:val="000000"/>
        </w:rPr>
        <w:t xml:space="preserve"> ambidextrous, </w:t>
      </w:r>
      <w:r w:rsidR="00183B40">
        <w:rPr>
          <w:color w:val="000000"/>
        </w:rPr>
        <w:t xml:space="preserve">allowing the user to adjust the brightness while maintaining fire control. </w:t>
      </w:r>
      <w:r w:rsidRPr="000900A6">
        <w:rPr>
          <w:color w:val="000000"/>
        </w:rPr>
        <w:t xml:space="preserve"> The MRO is parallax free, with infinite eye relief for quick and ac</w:t>
      </w:r>
      <w:r w:rsidR="00183B40">
        <w:rPr>
          <w:color w:val="000000"/>
        </w:rPr>
        <w:t>curate engagement no matter your shooting</w:t>
      </w:r>
      <w:r w:rsidRPr="000900A6">
        <w:rPr>
          <w:color w:val="000000"/>
        </w:rPr>
        <w:t xml:space="preserve"> position.  </w:t>
      </w:r>
    </w:p>
    <w:p w14:paraId="6E59B9EA" w14:textId="77777777" w:rsidR="00DF0885" w:rsidRDefault="00DF0885" w:rsidP="000E5A42"/>
    <w:p w14:paraId="033E3535" w14:textId="77777777" w:rsidR="00100853" w:rsidRDefault="00100853" w:rsidP="00100853">
      <w:pPr>
        <w:rPr>
          <w:color w:val="000000"/>
        </w:rPr>
      </w:pPr>
      <w:r w:rsidRPr="007602A9">
        <w:rPr>
          <w:color w:val="000000"/>
        </w:rPr>
        <w:t>With its large objective lens and shortened optical length, the MRO virtually eliminates the “tunnel vision” or tube-effect common to many red dot s</w:t>
      </w:r>
      <w:r>
        <w:rPr>
          <w:color w:val="000000"/>
        </w:rPr>
        <w:t xml:space="preserve">ights. </w:t>
      </w:r>
      <w:r w:rsidRPr="007602A9">
        <w:rPr>
          <w:color w:val="000000"/>
        </w:rPr>
        <w:t>The 2</w:t>
      </w:r>
      <w:r w:rsidR="00183B40">
        <w:rPr>
          <w:color w:val="000000"/>
        </w:rPr>
        <w:t>.0</w:t>
      </w:r>
      <w:r w:rsidRPr="007602A9">
        <w:rPr>
          <w:color w:val="000000"/>
        </w:rPr>
        <w:t xml:space="preserve"> MOA dot is bright and crisp, and is perfectly sized for fast target acquisition at CQB distance</w:t>
      </w:r>
      <w:r w:rsidR="00002086">
        <w:rPr>
          <w:color w:val="000000"/>
        </w:rPr>
        <w:t>s</w:t>
      </w:r>
      <w:r w:rsidRPr="007602A9">
        <w:rPr>
          <w:color w:val="000000"/>
        </w:rPr>
        <w:t xml:space="preserve"> </w:t>
      </w:r>
      <w:r w:rsidR="000900A6">
        <w:rPr>
          <w:color w:val="000000"/>
        </w:rPr>
        <w:t xml:space="preserve">or </w:t>
      </w:r>
      <w:r w:rsidRPr="007602A9">
        <w:rPr>
          <w:color w:val="000000"/>
        </w:rPr>
        <w:t xml:space="preserve">out to extended ranges. </w:t>
      </w:r>
    </w:p>
    <w:p w14:paraId="048BD4A6" w14:textId="77777777" w:rsidR="000900A6" w:rsidRDefault="000900A6" w:rsidP="00100853">
      <w:pPr>
        <w:rPr>
          <w:color w:val="000000"/>
        </w:rPr>
      </w:pPr>
    </w:p>
    <w:p w14:paraId="0369A619" w14:textId="77777777" w:rsidR="000900A6" w:rsidRDefault="000900A6" w:rsidP="00100853">
      <w:pPr>
        <w:rPr>
          <w:color w:val="000000"/>
        </w:rPr>
      </w:pPr>
      <w:r>
        <w:rPr>
          <w:color w:val="000000"/>
        </w:rPr>
        <w:t>All</w:t>
      </w:r>
      <w:r w:rsidRPr="000900A6">
        <w:rPr>
          <w:color w:val="000000"/>
        </w:rPr>
        <w:t xml:space="preserve"> Trijicon MRO</w:t>
      </w:r>
      <w:r>
        <w:rPr>
          <w:color w:val="000000"/>
        </w:rPr>
        <w:t xml:space="preserve"> </w:t>
      </w:r>
      <w:r w:rsidR="00183B40">
        <w:rPr>
          <w:color w:val="000000"/>
        </w:rPr>
        <w:t xml:space="preserve">models </w:t>
      </w:r>
      <w:r>
        <w:rPr>
          <w:color w:val="000000"/>
        </w:rPr>
        <w:t>mount</w:t>
      </w:r>
      <w:r w:rsidRPr="000900A6">
        <w:rPr>
          <w:color w:val="000000"/>
        </w:rPr>
        <w:t xml:space="preserve"> e</w:t>
      </w:r>
      <w:r>
        <w:rPr>
          <w:color w:val="000000"/>
        </w:rPr>
        <w:t>asily, zero quickly with half-minute adjustments and</w:t>
      </w:r>
      <w:r w:rsidR="00100853" w:rsidRPr="007602A9">
        <w:rPr>
          <w:color w:val="000000"/>
        </w:rPr>
        <w:t xml:space="preserve"> 70 MOA total travel allow fo</w:t>
      </w:r>
      <w:r>
        <w:rPr>
          <w:color w:val="000000"/>
        </w:rPr>
        <w:t>r zeroing</w:t>
      </w:r>
      <w:r w:rsidR="00100853">
        <w:rPr>
          <w:color w:val="000000"/>
        </w:rPr>
        <w:t xml:space="preserve"> on a variety of platforms. </w:t>
      </w:r>
      <w:r w:rsidR="00002086">
        <w:rPr>
          <w:color w:val="000000"/>
        </w:rPr>
        <w:t>Furthermore</w:t>
      </w:r>
      <w:r w:rsidR="00100853" w:rsidRPr="007602A9">
        <w:rPr>
          <w:color w:val="000000"/>
        </w:rPr>
        <w:t xml:space="preserve">, no special tools are required—windage and elevation adjustments can </w:t>
      </w:r>
      <w:r>
        <w:rPr>
          <w:color w:val="000000"/>
        </w:rPr>
        <w:t>be made with the rim of a cartridge</w:t>
      </w:r>
      <w:r w:rsidR="00100853" w:rsidRPr="007602A9">
        <w:rPr>
          <w:color w:val="000000"/>
        </w:rPr>
        <w:t xml:space="preserve"> casing. </w:t>
      </w:r>
    </w:p>
    <w:p w14:paraId="0715C3A0" w14:textId="77777777" w:rsidR="000900A6" w:rsidRDefault="000900A6" w:rsidP="00100853">
      <w:pPr>
        <w:rPr>
          <w:color w:val="000000"/>
        </w:rPr>
      </w:pPr>
    </w:p>
    <w:p w14:paraId="68FE7E55" w14:textId="77777777" w:rsidR="00100853" w:rsidRPr="007602A9" w:rsidRDefault="00100853" w:rsidP="00100853">
      <w:pPr>
        <w:rPr>
          <w:color w:val="000000"/>
        </w:rPr>
      </w:pPr>
      <w:r w:rsidRPr="007602A9">
        <w:rPr>
          <w:color w:val="000000"/>
        </w:rPr>
        <w:t>Triji</w:t>
      </w:r>
      <w:r>
        <w:rPr>
          <w:color w:val="000000"/>
        </w:rPr>
        <w:t>con engineers built—and tested—</w:t>
      </w:r>
      <w:r w:rsidRPr="007602A9">
        <w:rPr>
          <w:color w:val="000000"/>
        </w:rPr>
        <w:t>the MRO to operate in temperatures ranging from</w:t>
      </w:r>
      <w:r w:rsidR="00183B40">
        <w:rPr>
          <w:color w:val="000000"/>
        </w:rPr>
        <w:t xml:space="preserve"> </w:t>
      </w:r>
      <w:r w:rsidRPr="007602A9">
        <w:rPr>
          <w:color w:val="000000"/>
        </w:rPr>
        <w:t xml:space="preserve"> -60F to +160F.  Waterproof to 100 feet, c</w:t>
      </w:r>
      <w:r>
        <w:rPr>
          <w:color w:val="000000"/>
        </w:rPr>
        <w:t>hemical and corrosion resistant,</w:t>
      </w:r>
      <w:r w:rsidRPr="007602A9">
        <w:rPr>
          <w:color w:val="000000"/>
        </w:rPr>
        <w:t xml:space="preserve"> and housed in 7075-T6 Aluminum, the MRO can withstand the rigors of combat, sub-zero mornings on an ice-encrusted hunting stand </w:t>
      </w:r>
      <w:r w:rsidR="000900A6">
        <w:rPr>
          <w:color w:val="000000"/>
        </w:rPr>
        <w:t>or bouncing between competition stages.</w:t>
      </w:r>
    </w:p>
    <w:p w14:paraId="06417870" w14:textId="77777777" w:rsidR="00100853" w:rsidRPr="007602A9" w:rsidRDefault="00100853" w:rsidP="00100853">
      <w:pPr>
        <w:rPr>
          <w:color w:val="000000"/>
        </w:rPr>
      </w:pPr>
    </w:p>
    <w:p w14:paraId="18B604A8" w14:textId="77777777" w:rsidR="00100853" w:rsidRPr="007602A9" w:rsidRDefault="00100853" w:rsidP="001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9DD5BB4" w14:textId="77777777" w:rsidR="00100853" w:rsidRPr="007602A9" w:rsidRDefault="000900A6" w:rsidP="001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MSRP: $613 without mount; $749</w:t>
      </w:r>
      <w:r w:rsidR="00100853" w:rsidRPr="007602A9">
        <w:rPr>
          <w:color w:val="000000"/>
        </w:rPr>
        <w:t xml:space="preserve"> with </w:t>
      </w:r>
      <w:r>
        <w:rPr>
          <w:color w:val="000000"/>
        </w:rPr>
        <w:t xml:space="preserve">Quick Release </w:t>
      </w:r>
      <w:r w:rsidR="00100853" w:rsidRPr="007602A9">
        <w:rPr>
          <w:color w:val="000000"/>
        </w:rPr>
        <w:t>mount. </w:t>
      </w:r>
    </w:p>
    <w:p w14:paraId="5C13C47B" w14:textId="77777777" w:rsidR="00DF0885" w:rsidRDefault="00DF0885" w:rsidP="000E5A42"/>
    <w:p w14:paraId="7D659672" w14:textId="77777777" w:rsidR="000E5A42" w:rsidRDefault="000E5A42" w:rsidP="000E5A42">
      <w:pPr>
        <w:rPr>
          <w:rFonts w:eastAsiaTheme="minorEastAsia"/>
          <w:color w:val="0000E9"/>
          <w:u w:val="single" w:color="0000E9"/>
        </w:rPr>
      </w:pPr>
      <w:r w:rsidRPr="0016507A">
        <w:rPr>
          <w:rFonts w:eastAsiaTheme="minorEastAsia"/>
          <w:color w:val="262626"/>
        </w:rPr>
        <w:t xml:space="preserve">For more information on </w:t>
      </w:r>
      <w:r>
        <w:rPr>
          <w:rFonts w:eastAsiaTheme="minorEastAsia"/>
          <w:color w:val="262626"/>
        </w:rPr>
        <w:t xml:space="preserve">the </w:t>
      </w:r>
      <w:r w:rsidR="00DF0885">
        <w:rPr>
          <w:rFonts w:eastAsiaTheme="minorEastAsia"/>
          <w:color w:val="262626"/>
        </w:rPr>
        <w:t>MRO</w:t>
      </w:r>
      <w:r w:rsidR="00183B40">
        <w:rPr>
          <w:rFonts w:eastAsiaTheme="minorEastAsia"/>
          <w:color w:val="262626"/>
        </w:rPr>
        <w:t>®</w:t>
      </w:r>
      <w:r>
        <w:rPr>
          <w:rFonts w:eastAsiaTheme="minorEastAsia"/>
          <w:color w:val="262626"/>
        </w:rPr>
        <w:t xml:space="preserve"> line</w:t>
      </w:r>
      <w:r w:rsidRPr="0016507A">
        <w:rPr>
          <w:rFonts w:eastAsiaTheme="minorEastAsia"/>
          <w:color w:val="262626"/>
        </w:rPr>
        <w:t xml:space="preserve"> and the complete array of Brilliant Aiming Solutions</w:t>
      </w:r>
      <w:r w:rsidRPr="00DC01B3">
        <w:rPr>
          <w:rFonts w:eastAsiaTheme="minorEastAsia"/>
          <w:color w:val="262626"/>
          <w:vertAlign w:val="superscript"/>
        </w:rPr>
        <w:t>™</w:t>
      </w:r>
      <w:r w:rsidRPr="0016507A">
        <w:rPr>
          <w:rFonts w:eastAsiaTheme="minorEastAsia"/>
          <w:color w:val="262626"/>
        </w:rPr>
        <w:t xml:space="preserve"> for the hunting, shooting, military and law enforcement markets, contact Trijicon</w:t>
      </w:r>
      <w:r w:rsidRPr="00DC01B3">
        <w:rPr>
          <w:rFonts w:eastAsiaTheme="minorEastAsia"/>
          <w:color w:val="262626"/>
          <w:vertAlign w:val="superscript"/>
        </w:rPr>
        <w:t>®</w:t>
      </w:r>
      <w:r w:rsidRPr="0016507A">
        <w:rPr>
          <w:rFonts w:eastAsiaTheme="minorEastAsia"/>
          <w:color w:val="262626"/>
        </w:rPr>
        <w:t xml:space="preserve">, Inc. at (248) 960-7700 or visit </w:t>
      </w:r>
      <w:hyperlink r:id="rId7" w:history="1">
        <w:r w:rsidRPr="0016507A">
          <w:rPr>
            <w:rFonts w:eastAsiaTheme="minorEastAsia"/>
            <w:color w:val="0000E9"/>
            <w:u w:val="single" w:color="0000E9"/>
          </w:rPr>
          <w:t>www.trijicon.com</w:t>
        </w:r>
      </w:hyperlink>
      <w:r w:rsidR="009474CF">
        <w:rPr>
          <w:rFonts w:eastAsiaTheme="minorEastAsia"/>
          <w:color w:val="0000E9"/>
          <w:u w:val="single" w:color="0000E9"/>
        </w:rPr>
        <w:t>.</w:t>
      </w:r>
    </w:p>
    <w:p w14:paraId="3D49859B" w14:textId="77777777" w:rsidR="00076A9A" w:rsidRPr="00491016" w:rsidRDefault="00076A9A" w:rsidP="000E5A42"/>
    <w:p w14:paraId="48975E41" w14:textId="77777777" w:rsidR="00100853" w:rsidRPr="007602A9" w:rsidRDefault="00100853" w:rsidP="0010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7602A9">
        <w:rPr>
          <w:color w:val="333333"/>
        </w:rPr>
        <w:t xml:space="preserve">For Hi-Res images, please contact Eddie Stevenson at </w:t>
      </w:r>
      <w:hyperlink r:id="rId8" w:history="1">
        <w:r w:rsidRPr="007602A9">
          <w:rPr>
            <w:color w:val="0000FF"/>
            <w:u w:val="single"/>
          </w:rPr>
          <w:t>eddie@driftwoodmediacom.com</w:t>
        </w:r>
      </w:hyperlink>
      <w:r w:rsidRPr="007602A9">
        <w:rPr>
          <w:color w:val="333333"/>
        </w:rPr>
        <w:t xml:space="preserve"> or visit </w:t>
      </w:r>
      <w:r w:rsidR="00476F95">
        <w:fldChar w:fldCharType="begin"/>
      </w:r>
      <w:r w:rsidR="00476F95">
        <w:instrText xml:space="preserve"> HYPERLINK "http://www.driftwoodmediacom.com/" \t "_blank" </w:instrText>
      </w:r>
      <w:r w:rsidR="00476F95">
        <w:fldChar w:fldCharType="separate"/>
      </w:r>
      <w:r w:rsidRPr="007602A9">
        <w:rPr>
          <w:color w:val="0000FF"/>
          <w:u w:val="single"/>
        </w:rPr>
        <w:t>www.driftwoodmediacom.com</w:t>
      </w:r>
      <w:r w:rsidR="00476F95">
        <w:rPr>
          <w:color w:val="0000FF"/>
          <w:u w:val="single"/>
        </w:rPr>
        <w:fldChar w:fldCharType="end"/>
      </w:r>
      <w:r w:rsidRPr="007602A9">
        <w:rPr>
          <w:color w:val="333333"/>
        </w:rPr>
        <w:t>.</w:t>
      </w:r>
    </w:p>
    <w:p w14:paraId="7207C05F" w14:textId="77777777" w:rsidR="008301F8" w:rsidRPr="004F1799" w:rsidRDefault="008301F8" w:rsidP="00210B29">
      <w:pPr>
        <w:rPr>
          <w:rFonts w:eastAsiaTheme="minorEastAsia"/>
        </w:rPr>
      </w:pPr>
    </w:p>
    <w:sectPr w:rsidR="008301F8" w:rsidRPr="004F1799" w:rsidSect="009474CF">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52AD"/>
    <w:multiLevelType w:val="hybridMultilevel"/>
    <w:tmpl w:val="FD88F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91"/>
    <w:rsid w:val="00002086"/>
    <w:rsid w:val="000671E1"/>
    <w:rsid w:val="00076A9A"/>
    <w:rsid w:val="000900A6"/>
    <w:rsid w:val="00093B8F"/>
    <w:rsid w:val="000E5A42"/>
    <w:rsid w:val="00100853"/>
    <w:rsid w:val="001542AD"/>
    <w:rsid w:val="001642EF"/>
    <w:rsid w:val="00183B40"/>
    <w:rsid w:val="00210B29"/>
    <w:rsid w:val="002A4E8C"/>
    <w:rsid w:val="00370C59"/>
    <w:rsid w:val="003872FC"/>
    <w:rsid w:val="0045291A"/>
    <w:rsid w:val="00470FC1"/>
    <w:rsid w:val="00476F95"/>
    <w:rsid w:val="004F1799"/>
    <w:rsid w:val="004F2AAD"/>
    <w:rsid w:val="005003B8"/>
    <w:rsid w:val="00516822"/>
    <w:rsid w:val="00570C59"/>
    <w:rsid w:val="005D2EA2"/>
    <w:rsid w:val="005D63F3"/>
    <w:rsid w:val="00621416"/>
    <w:rsid w:val="006364F8"/>
    <w:rsid w:val="00683DC8"/>
    <w:rsid w:val="00697CA8"/>
    <w:rsid w:val="006C67D9"/>
    <w:rsid w:val="006C7448"/>
    <w:rsid w:val="006E7AE0"/>
    <w:rsid w:val="006F224A"/>
    <w:rsid w:val="006F6375"/>
    <w:rsid w:val="00734E62"/>
    <w:rsid w:val="0077135B"/>
    <w:rsid w:val="00774ED9"/>
    <w:rsid w:val="007D1EA8"/>
    <w:rsid w:val="00801CE5"/>
    <w:rsid w:val="00807A20"/>
    <w:rsid w:val="008102C4"/>
    <w:rsid w:val="008301F8"/>
    <w:rsid w:val="00841987"/>
    <w:rsid w:val="008427B3"/>
    <w:rsid w:val="00882E9A"/>
    <w:rsid w:val="0088344B"/>
    <w:rsid w:val="00883FEA"/>
    <w:rsid w:val="0089245F"/>
    <w:rsid w:val="00894ABB"/>
    <w:rsid w:val="008D7D05"/>
    <w:rsid w:val="008F16DB"/>
    <w:rsid w:val="009474CF"/>
    <w:rsid w:val="00961305"/>
    <w:rsid w:val="00A16940"/>
    <w:rsid w:val="00A16CE2"/>
    <w:rsid w:val="00A36591"/>
    <w:rsid w:val="00A6039F"/>
    <w:rsid w:val="00AA368D"/>
    <w:rsid w:val="00AD54A5"/>
    <w:rsid w:val="00B20357"/>
    <w:rsid w:val="00B45B6F"/>
    <w:rsid w:val="00B53C2E"/>
    <w:rsid w:val="00BD6680"/>
    <w:rsid w:val="00BD7A69"/>
    <w:rsid w:val="00C06538"/>
    <w:rsid w:val="00C5286A"/>
    <w:rsid w:val="00C80DF2"/>
    <w:rsid w:val="00C87F91"/>
    <w:rsid w:val="00CB3B9B"/>
    <w:rsid w:val="00CC7088"/>
    <w:rsid w:val="00D03954"/>
    <w:rsid w:val="00D23052"/>
    <w:rsid w:val="00DE3EC4"/>
    <w:rsid w:val="00DF0885"/>
    <w:rsid w:val="00DF3EAF"/>
    <w:rsid w:val="00E14292"/>
    <w:rsid w:val="00E22D7F"/>
    <w:rsid w:val="00E242DF"/>
    <w:rsid w:val="00E92362"/>
    <w:rsid w:val="00E94BF4"/>
    <w:rsid w:val="00EA3BB3"/>
    <w:rsid w:val="00EA57A8"/>
    <w:rsid w:val="00F51BDD"/>
    <w:rsid w:val="00F9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6D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088"/>
    <w:rPr>
      <w:color w:val="0000FF" w:themeColor="hyperlink"/>
      <w:u w:val="single"/>
    </w:rPr>
  </w:style>
  <w:style w:type="character" w:styleId="FollowedHyperlink">
    <w:name w:val="FollowedHyperlink"/>
    <w:basedOn w:val="DefaultParagraphFont"/>
    <w:uiPriority w:val="99"/>
    <w:semiHidden/>
    <w:unhideWhenUsed/>
    <w:rsid w:val="00B53C2E"/>
    <w:rPr>
      <w:color w:val="800080" w:themeColor="followedHyperlink"/>
      <w:u w:val="single"/>
    </w:rPr>
  </w:style>
  <w:style w:type="character" w:customStyle="1" w:styleId="apple-converted-space">
    <w:name w:val="apple-converted-space"/>
    <w:basedOn w:val="DefaultParagraphFont"/>
    <w:rsid w:val="000671E1"/>
  </w:style>
  <w:style w:type="paragraph" w:styleId="ListParagraph">
    <w:name w:val="List Paragraph"/>
    <w:basedOn w:val="Normal"/>
    <w:uiPriority w:val="34"/>
    <w:qFormat/>
    <w:rsid w:val="00F51BDD"/>
    <w:pPr>
      <w:ind w:left="720"/>
      <w:contextualSpacing/>
    </w:pPr>
    <w:rPr>
      <w:rFonts w:ascii="Arial" w:eastAsiaTheme="minorHAnsi" w:hAnsi="Arial"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088"/>
    <w:rPr>
      <w:color w:val="0000FF" w:themeColor="hyperlink"/>
      <w:u w:val="single"/>
    </w:rPr>
  </w:style>
  <w:style w:type="character" w:styleId="FollowedHyperlink">
    <w:name w:val="FollowedHyperlink"/>
    <w:basedOn w:val="DefaultParagraphFont"/>
    <w:uiPriority w:val="99"/>
    <w:semiHidden/>
    <w:unhideWhenUsed/>
    <w:rsid w:val="00B53C2E"/>
    <w:rPr>
      <w:color w:val="800080" w:themeColor="followedHyperlink"/>
      <w:u w:val="single"/>
    </w:rPr>
  </w:style>
  <w:style w:type="character" w:customStyle="1" w:styleId="apple-converted-space">
    <w:name w:val="apple-converted-space"/>
    <w:basedOn w:val="DefaultParagraphFont"/>
    <w:rsid w:val="000671E1"/>
  </w:style>
  <w:style w:type="paragraph" w:styleId="ListParagraph">
    <w:name w:val="List Paragraph"/>
    <w:basedOn w:val="Normal"/>
    <w:uiPriority w:val="34"/>
    <w:qFormat/>
    <w:rsid w:val="00F51BDD"/>
    <w:pPr>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92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rijicon.com/" TargetMode="External"/><Relationship Id="rId8" Type="http://schemas.openxmlformats.org/officeDocument/2006/relationships/hyperlink" Target="mailto:eddie@driftwoodmediacom.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Driftwood Media</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Hanback</dc:creator>
  <cp:keywords/>
  <dc:description/>
  <cp:lastModifiedBy>Eddie Stevenson</cp:lastModifiedBy>
  <cp:revision>3</cp:revision>
  <dcterms:created xsi:type="dcterms:W3CDTF">2018-04-25T14:41:00Z</dcterms:created>
  <dcterms:modified xsi:type="dcterms:W3CDTF">2018-05-03T13:40:00Z</dcterms:modified>
</cp:coreProperties>
</file>